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E9025AE"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A64105" w:rsidRPr="00A64105">
            <w:rPr>
              <w:rStyle w:val="Nzevakce"/>
            </w:rPr>
            <w:t xml:space="preserve">„Rekonstrukce nástupiště na zastávce Proseč nad Nisou“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C6D1A96" w:rsidR="001A0268"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A64105" w:rsidRPr="00A64105">
        <w:rPr>
          <w:rFonts w:ascii="Verdana" w:hAnsi="Verdana" w:cs="Arial"/>
          <w:sz w:val="18"/>
          <w:szCs w:val="18"/>
        </w:rPr>
        <w:t xml:space="preserve"> </w:t>
      </w:r>
      <w:r w:rsidR="00A64105" w:rsidRPr="00491206">
        <w:rPr>
          <w:rFonts w:ascii="Verdana" w:hAnsi="Verdana" w:cs="Arial"/>
          <w:sz w:val="18"/>
          <w:szCs w:val="18"/>
        </w:rPr>
        <w:t>Ing. David Veselý</w:t>
      </w:r>
      <w:r w:rsidR="00A64105">
        <w:rPr>
          <w:rFonts w:ascii="Verdana" w:hAnsi="Verdana" w:cs="Arial"/>
          <w:sz w:val="18"/>
          <w:szCs w:val="18"/>
        </w:rPr>
        <w:t>, OŘ Hradec Králové</w:t>
      </w:r>
      <w:r w:rsidR="00A64105" w:rsidRPr="00491206">
        <w:rPr>
          <w:rFonts w:ascii="Verdana" w:hAnsi="Verdana" w:cs="Arial"/>
          <w:sz w:val="18"/>
          <w:szCs w:val="18"/>
        </w:rPr>
        <w:t xml:space="preserve">, tel.: 722 113 362, e-mail: </w:t>
      </w:r>
      <w:hyperlink r:id="rId8" w:history="1">
        <w:r w:rsidR="00F72772" w:rsidRPr="00DC531C">
          <w:rPr>
            <w:rStyle w:val="Hypertextovodkaz"/>
            <w:rFonts w:ascii="Verdana" w:hAnsi="Verdana" w:cs="Arial"/>
            <w:sz w:val="18"/>
            <w:szCs w:val="18"/>
          </w:rPr>
          <w:t>veselyda@spravazeleznic.cz</w:t>
        </w:r>
      </w:hyperlink>
    </w:p>
    <w:p w14:paraId="3B33418B" w14:textId="5BE1308C" w:rsidR="00F72772" w:rsidRPr="00CC7446" w:rsidRDefault="00F72772" w:rsidP="00F72772">
      <w:pPr>
        <w:numPr>
          <w:ilvl w:val="0"/>
          <w:numId w:val="5"/>
        </w:numPr>
        <w:tabs>
          <w:tab w:val="num" w:pos="284"/>
        </w:tabs>
        <w:spacing w:before="120" w:line="280" w:lineRule="exact"/>
        <w:ind w:left="284" w:hanging="284"/>
        <w:rPr>
          <w:rFonts w:ascii="Verdana" w:hAnsi="Verdana" w:cs="Arial"/>
          <w:sz w:val="18"/>
          <w:szCs w:val="18"/>
        </w:rPr>
      </w:pPr>
      <w:r w:rsidRPr="00855002">
        <w:rPr>
          <w:rFonts w:ascii="Verdana" w:hAnsi="Verdana" w:cs="Arial"/>
          <w:sz w:val="18"/>
          <w:szCs w:val="18"/>
        </w:rPr>
        <w:t>autorizovaný zeměměřický inženýr</w:t>
      </w:r>
      <w:r w:rsidRPr="00F72772">
        <w:t xml:space="preserve"> </w:t>
      </w:r>
      <w:r w:rsidRPr="00F72772">
        <w:rPr>
          <w:rFonts w:ascii="Verdana" w:hAnsi="Verdana" w:cs="Arial"/>
          <w:sz w:val="18"/>
          <w:szCs w:val="18"/>
        </w:rPr>
        <w:t xml:space="preserve">Ing. Jiří Balcárek, SŽG Ústí nad Labem, tel.: +420 606 054 296, e-mail: </w:t>
      </w:r>
      <w:hyperlink r:id="rId9" w:history="1">
        <w:r w:rsidRPr="00DC531C">
          <w:rPr>
            <w:rStyle w:val="Hypertextovodkaz"/>
            <w:rFonts w:ascii="Verdana" w:hAnsi="Verdana" w:cs="Arial"/>
            <w:sz w:val="18"/>
            <w:szCs w:val="18"/>
          </w:rPr>
          <w:t>BalcarekJ@spravazeleznic.cz</w:t>
        </w:r>
      </w:hyperlink>
      <w:r>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940A6"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7C279ECD" w:rsidR="002E43C6" w:rsidRPr="00CC7446" w:rsidRDefault="002E43C6" w:rsidP="005F1EEE">
      <w:pPr>
        <w:pStyle w:val="Textbezodsazen"/>
        <w:spacing w:before="120" w:after="0" w:line="280" w:lineRule="exact"/>
      </w:pPr>
      <w:r>
        <w:t xml:space="preserve">číslo jednací: </w:t>
      </w:r>
      <w:r w:rsidR="007428B9" w:rsidRPr="007428B9">
        <w:t>3694/2024-SŽ-SSZ-OVZ</w:t>
      </w:r>
    </w:p>
    <w:p w14:paraId="7EE1A2D2" w14:textId="4A087804" w:rsidR="00784660" w:rsidRPr="00CC7446" w:rsidRDefault="00784660" w:rsidP="00734C0E">
      <w:pPr>
        <w:pStyle w:val="Textbezodsazen"/>
        <w:spacing w:line="280" w:lineRule="exact"/>
      </w:pPr>
      <w:r w:rsidRPr="00CC7446">
        <w:t xml:space="preserve">ISPROFOND: </w:t>
      </w:r>
      <w:r w:rsidR="00B330EB" w:rsidRPr="00CC7446">
        <w:t>[</w:t>
      </w:r>
      <w:r w:rsidR="00A64105" w:rsidRPr="004621D4">
        <w:t>3273214993 / 5513530037</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2758CA8"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A64105">
        <w:rPr>
          <w:rFonts w:ascii="Verdana" w:hAnsi="Verdana" w:cs="Arial"/>
          <w:b/>
          <w:bCs/>
          <w:sz w:val="18"/>
          <w:szCs w:val="18"/>
        </w:rPr>
        <w:t>„</w:t>
      </w:r>
      <w:r w:rsidR="00A64105" w:rsidRPr="00A64105">
        <w:rPr>
          <w:rFonts w:ascii="Verdana" w:hAnsi="Verdana" w:cs="Arial"/>
          <w:b/>
          <w:bCs/>
          <w:sz w:val="18"/>
          <w:szCs w:val="18"/>
        </w:rPr>
        <w:t>Rekonstrukce nástupiště na zastávce Proseč nad Nisou</w:t>
      </w:r>
      <w:r w:rsidR="00760BFB" w:rsidRPr="00A64105">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688A60C"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64105" w:rsidRPr="00A64105">
        <w:rPr>
          <w:rFonts w:ascii="Verdana" w:hAnsi="Verdana" w:cs="Arial"/>
          <w:sz w:val="18"/>
          <w:szCs w:val="18"/>
        </w:rPr>
        <w:t xml:space="preserve">2896/2024-SŽ-SSZ-OVZ </w:t>
      </w:r>
      <w:r w:rsidRPr="00CC7446">
        <w:rPr>
          <w:rFonts w:ascii="Verdana" w:hAnsi="Verdana" w:cs="Arial"/>
          <w:sz w:val="18"/>
          <w:szCs w:val="18"/>
        </w:rPr>
        <w:t xml:space="preserve">ze dne </w:t>
      </w:r>
      <w:r w:rsidR="005940A6">
        <w:rPr>
          <w:rFonts w:ascii="Verdana" w:hAnsi="Verdana" w:cs="Arial"/>
          <w:sz w:val="18"/>
          <w:szCs w:val="18"/>
        </w:rPr>
        <w:t>23. 02. 2024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5BDCD2BE" w14:textId="623DCE7D" w:rsidR="008740E9" w:rsidRPr="00CC7446" w:rsidRDefault="008740E9" w:rsidP="008740E9">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železničního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3731FA16" w:rsidR="00CD4F90" w:rsidRPr="00CC7446" w:rsidRDefault="00A64105" w:rsidP="00A3010D">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6A99EDB" w:rsidR="00CD4F90" w:rsidRPr="00CC7446" w:rsidRDefault="00A64105" w:rsidP="00A3010D">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96E232E" w:rsidR="00CD4F90" w:rsidRPr="00CC7446" w:rsidRDefault="00A64105"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12</w:t>
            </w:r>
            <w:r w:rsidRPr="00CC7446">
              <w:rPr>
                <w:rFonts w:ascii="Verdana" w:hAnsi="Verdana" w:cs="Arial"/>
                <w:b/>
                <w:bCs/>
                <w:sz w:val="18"/>
                <w:szCs w:val="18"/>
              </w:rPr>
              <w:t xml:space="preserve"> měsíců </w:t>
            </w:r>
            <w:r w:rsidR="004C626C"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273A87D" w14:textId="77777777" w:rsidR="00A64105" w:rsidRPr="00CC7446" w:rsidRDefault="00A64105" w:rsidP="00A64105">
            <w:pPr>
              <w:jc w:val="center"/>
              <w:rPr>
                <w:rFonts w:ascii="Verdana" w:hAnsi="Verdana" w:cs="Arial"/>
                <w:b/>
                <w:bCs/>
                <w:sz w:val="18"/>
                <w:szCs w:val="18"/>
              </w:rPr>
            </w:pPr>
            <w:r w:rsidRPr="00CC7446">
              <w:rPr>
                <w:rFonts w:ascii="Verdana" w:hAnsi="Verdana" w:cs="Arial"/>
                <w:b/>
                <w:bCs/>
                <w:sz w:val="18"/>
                <w:szCs w:val="18"/>
              </w:rPr>
              <w:t>Předpoklad</w:t>
            </w:r>
            <w:r>
              <w:rPr>
                <w:rFonts w:ascii="Verdana" w:hAnsi="Verdana" w:cs="Arial"/>
                <w:b/>
                <w:bCs/>
                <w:sz w:val="18"/>
                <w:szCs w:val="18"/>
              </w:rPr>
              <w:t xml:space="preserve"> 10/2026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65E372A"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972DAB" w:rsidRPr="00CC7446">
              <w:rPr>
                <w:rFonts w:ascii="Verdana" w:hAnsi="Verdana" w:cs="Arial"/>
                <w:b w:val="0"/>
                <w:sz w:val="18"/>
                <w:szCs w:val="18"/>
                <w:u w:val="none"/>
                <w:lang w:val="cs-CZ"/>
              </w:rPr>
              <w:t>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A64105" w:rsidRDefault="00E85B78" w:rsidP="00B753FC">
            <w:pPr>
              <w:jc w:val="center"/>
              <w:rPr>
                <w:rFonts w:ascii="Verdana" w:hAnsi="Verdana" w:cs="Arial"/>
                <w:strike/>
                <w:sz w:val="18"/>
                <w:szCs w:val="18"/>
                <w:lang w:eastAsia="en-US"/>
              </w:rPr>
            </w:pPr>
            <w:r w:rsidRPr="00A64105">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A64105" w:rsidRDefault="00E85B78" w:rsidP="00B753FC">
            <w:pPr>
              <w:rPr>
                <w:rFonts w:ascii="Verdana" w:hAnsi="Verdana" w:cs="Arial"/>
                <w:strike/>
                <w:sz w:val="18"/>
                <w:szCs w:val="18"/>
                <w:lang w:eastAsia="en-US"/>
              </w:rPr>
            </w:pPr>
            <w:r w:rsidRPr="00A64105">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A64105" w:rsidRDefault="00E85B78" w:rsidP="00B753FC">
            <w:pPr>
              <w:jc w:val="center"/>
              <w:rPr>
                <w:rFonts w:ascii="Verdana" w:hAnsi="Verdana" w:cs="Arial"/>
                <w:strike/>
                <w:sz w:val="18"/>
                <w:szCs w:val="18"/>
                <w:lang w:eastAsia="en-US"/>
              </w:rPr>
            </w:pPr>
            <w:r w:rsidRPr="00A64105">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A64105" w:rsidRDefault="00E85B78" w:rsidP="00B753FC">
            <w:pPr>
              <w:jc w:val="center"/>
              <w:rPr>
                <w:rFonts w:ascii="Verdana" w:hAnsi="Verdana" w:cs="Arial"/>
                <w:strike/>
                <w:sz w:val="18"/>
                <w:szCs w:val="18"/>
                <w:lang w:eastAsia="en-US"/>
              </w:rPr>
            </w:pPr>
            <w:r w:rsidRPr="00A64105">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64105" w:rsidRDefault="00E85B78" w:rsidP="00B753FC">
            <w:pPr>
              <w:rPr>
                <w:rFonts w:ascii="Verdana" w:hAnsi="Verdana" w:cs="Arial"/>
                <w:strike/>
                <w:sz w:val="18"/>
                <w:szCs w:val="18"/>
              </w:rPr>
            </w:pPr>
            <w:r w:rsidRPr="00A6410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64105" w:rsidRDefault="00E85B78" w:rsidP="00B753FC">
            <w:pPr>
              <w:jc w:val="center"/>
              <w:rPr>
                <w:rFonts w:ascii="Verdana" w:hAnsi="Verdana" w:cs="Arial"/>
                <w:strike/>
                <w:sz w:val="18"/>
                <w:szCs w:val="18"/>
              </w:rPr>
            </w:pPr>
            <w:r w:rsidRPr="00A64105">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64105" w:rsidRDefault="001908F2" w:rsidP="00B753FC">
            <w:pPr>
              <w:jc w:val="center"/>
              <w:rPr>
                <w:rFonts w:ascii="Verdana" w:hAnsi="Verdana" w:cs="Arial"/>
                <w:strike/>
                <w:sz w:val="18"/>
                <w:szCs w:val="18"/>
                <w:lang w:eastAsia="en-US"/>
              </w:rPr>
            </w:pPr>
            <w:r w:rsidRPr="00A64105">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37FEE2C4" w14:textId="77777777" w:rsidR="00A64105" w:rsidRPr="00CC7446" w:rsidRDefault="00A64105" w:rsidP="00A641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70%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4068C708" w14:textId="77777777" w:rsidR="00A64105" w:rsidRPr="00CC7446" w:rsidRDefault="00A64105" w:rsidP="00A641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2.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20%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5C8C5D55" w14:textId="77777777" w:rsidR="00A64105" w:rsidRDefault="00A64105" w:rsidP="00A64105">
      <w:pPr>
        <w:pStyle w:val="Nadpis7"/>
        <w:numPr>
          <w:ilvl w:val="0"/>
          <w:numId w:val="25"/>
        </w:numPr>
        <w:tabs>
          <w:tab w:val="clear" w:pos="4536"/>
        </w:tabs>
        <w:spacing w:after="120" w:line="280" w:lineRule="exact"/>
        <w:jc w:val="both"/>
        <w:rPr>
          <w:rFonts w:ascii="Verdana" w:hAnsi="Verdana"/>
          <w:i w:val="0"/>
          <w:sz w:val="18"/>
          <w:szCs w:val="18"/>
        </w:rPr>
      </w:pPr>
      <w:r w:rsidRPr="00A13B33">
        <w:rPr>
          <w:rFonts w:ascii="Verdana" w:hAnsi="Verdana"/>
          <w:i w:val="0"/>
          <w:sz w:val="18"/>
          <w:szCs w:val="18"/>
        </w:rPr>
        <w:t>Předání díla dle odst. 3.2 smlouvy</w:t>
      </w:r>
      <w:r w:rsidRPr="00A13B33">
        <w:rPr>
          <w:rFonts w:ascii="Verdana" w:hAnsi="Verdana"/>
          <w:sz w:val="18"/>
          <w:szCs w:val="18"/>
        </w:rPr>
        <w:t xml:space="preserve"> – </w:t>
      </w:r>
      <w:r w:rsidRPr="00A13B33">
        <w:rPr>
          <w:rFonts w:ascii="Verdana" w:hAnsi="Verdana"/>
          <w:b/>
          <w:i w:val="0"/>
          <w:sz w:val="18"/>
          <w:szCs w:val="18"/>
        </w:rPr>
        <w:t>3. dílčí etapa plnění</w:t>
      </w:r>
      <w:r>
        <w:rPr>
          <w:rFonts w:ascii="Verdana" w:hAnsi="Verdana"/>
          <w:b/>
          <w:i w:val="0"/>
          <w:sz w:val="18"/>
          <w:szCs w:val="18"/>
        </w:rPr>
        <w:t xml:space="preserve"> </w:t>
      </w:r>
      <w:r w:rsidRPr="00A13B33">
        <w:rPr>
          <w:rFonts w:ascii="Verdana" w:hAnsi="Verdana"/>
          <w:b/>
          <w:i w:val="0"/>
          <w:sz w:val="18"/>
          <w:szCs w:val="18"/>
        </w:rPr>
        <w:t xml:space="preserve">- </w:t>
      </w:r>
      <w:r w:rsidRPr="00A13B33">
        <w:rPr>
          <w:rFonts w:ascii="Verdana" w:hAnsi="Verdana"/>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10%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4137D6C7" w14:textId="04563060" w:rsidR="00575D9E" w:rsidRPr="00CC7446" w:rsidRDefault="00A64105" w:rsidP="00575D9E">
      <w:pPr>
        <w:pStyle w:val="Nadpis7"/>
        <w:numPr>
          <w:ilvl w:val="0"/>
          <w:numId w:val="25"/>
        </w:numPr>
        <w:tabs>
          <w:tab w:val="clear" w:pos="4536"/>
        </w:tabs>
        <w:spacing w:after="120" w:line="280" w:lineRule="exact"/>
        <w:jc w:val="both"/>
        <w:rPr>
          <w:rFonts w:ascii="Verdana" w:hAnsi="Verdana"/>
          <w:i w:val="0"/>
          <w:sz w:val="18"/>
          <w:szCs w:val="18"/>
        </w:rPr>
      </w:pPr>
      <w:r w:rsidRPr="00A13B33">
        <w:rPr>
          <w:rFonts w:ascii="Verdana" w:hAnsi="Verdana"/>
          <w:i w:val="0"/>
          <w:sz w:val="18"/>
          <w:szCs w:val="18"/>
        </w:rPr>
        <w:t xml:space="preserve">dle odst. 3. 2. smlouvy – </w:t>
      </w:r>
      <w:r w:rsidRPr="00A13B33">
        <w:rPr>
          <w:rFonts w:ascii="Verdana" w:hAnsi="Verdana"/>
          <w:b/>
          <w:i w:val="0"/>
          <w:sz w:val="18"/>
          <w:szCs w:val="18"/>
        </w:rPr>
        <w:t>4. dílčí etapa plnění</w:t>
      </w:r>
      <w:r>
        <w:rPr>
          <w:rFonts w:ascii="Verdana" w:hAnsi="Verdana"/>
          <w:b/>
          <w:i w:val="0"/>
          <w:sz w:val="18"/>
          <w:szCs w:val="18"/>
        </w:rPr>
        <w:t xml:space="preserve"> </w:t>
      </w:r>
      <w:r w:rsidRPr="00A13B33">
        <w:rPr>
          <w:rFonts w:ascii="Verdana" w:hAnsi="Verdana"/>
          <w:i w:val="0"/>
          <w:sz w:val="18"/>
          <w:szCs w:val="18"/>
        </w:rPr>
        <w:t xml:space="preserve">- </w:t>
      </w:r>
      <w:r w:rsidRPr="00CC7446">
        <w:rPr>
          <w:rFonts w:ascii="Verdana" w:hAnsi="Verdana"/>
          <w:i w:val="0"/>
          <w:sz w:val="18"/>
          <w:szCs w:val="18"/>
        </w:rPr>
        <w:t xml:space="preserve">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w:t>
      </w:r>
      <w:r>
        <w:rPr>
          <w:rFonts w:ascii="Verdana" w:hAnsi="Verdana"/>
          <w:i w:val="0"/>
          <w:sz w:val="18"/>
          <w:szCs w:val="18"/>
        </w:rPr>
        <w:t xml:space="preserve"> </w:t>
      </w:r>
      <w:r w:rsidR="00575D9E"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1E49D76"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940A6">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31172DD"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5940A6">
            <w:rPr>
              <w:noProof/>
            </w:rPr>
            <w:t>„Rekonstrukce nástupiště na zastávce Proseč nad Nisou“</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69E07271" w:rsidR="00D437A4" w:rsidRDefault="00A64105">
    <w:pPr>
      <w:pStyle w:val="Zpat"/>
    </w:pPr>
    <w:permStart w:id="1341599361" w:edGrp="everyone"/>
    <w:r w:rsidRPr="004C7962">
      <w:rPr>
        <w:noProof/>
      </w:rPr>
      <w:drawing>
        <wp:inline distT="0" distB="0" distL="0" distR="0" wp14:anchorId="629350A2" wp14:editId="4889532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FmEpI33fJKVdSB2moOfz/dikXZFPUvyKELxtynPO1jHwYrcSX2FBnpdGWfxhgkM2dK0mixShUjGpQ+QxSsLB2w==" w:salt="q5kVssv898ngJxupjOnWTw=="/>
  <w:defaultTabStop w:val="709"/>
  <w:hyphenationZone w:val="425"/>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626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940A6"/>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28B9"/>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740E9"/>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4105"/>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277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F72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elyda@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alcarekJ@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64D84"/>
    <w:rsid w:val="008C1F12"/>
    <w:rsid w:val="008C2F26"/>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24</Pages>
  <Words>9688</Words>
  <Characters>58471</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133</cp:revision>
  <cp:lastPrinted>2023-02-02T09:23:00Z</cp:lastPrinted>
  <dcterms:created xsi:type="dcterms:W3CDTF">2022-02-03T15:00:00Z</dcterms:created>
  <dcterms:modified xsi:type="dcterms:W3CDTF">2024-02-23T12:22:00Z</dcterms:modified>
</cp:coreProperties>
</file>